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28F" w:rsidRPr="00AB128F" w:rsidRDefault="00AB128F" w:rsidP="00AB128F">
      <w:pPr>
        <w:widowControl w:val="0"/>
        <w:numPr>
          <w:ilvl w:val="12"/>
          <w:numId w:val="0"/>
        </w:numPr>
        <w:tabs>
          <w:tab w:val="left" w:pos="993"/>
        </w:tabs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Лекция 3. </w:t>
      </w:r>
      <w:r w:rsidRPr="00AB128F">
        <w:rPr>
          <w:rFonts w:ascii="Times New Roman" w:eastAsia="Times New Roman" w:hAnsi="Times New Roman" w:cs="Times New Roman"/>
          <w:b/>
          <w:sz w:val="24"/>
          <w:szCs w:val="24"/>
        </w:rPr>
        <w:t>МСБУ (IAS) 21 Влияние изменений обменных курсов валют</w:t>
      </w:r>
    </w:p>
    <w:p w:rsidR="00AB128F" w:rsidRPr="00AB128F" w:rsidRDefault="00AB128F" w:rsidP="00AB128F">
      <w:pPr>
        <w:widowControl w:val="0"/>
        <w:numPr>
          <w:ilvl w:val="12"/>
          <w:numId w:val="0"/>
        </w:numPr>
        <w:tabs>
          <w:tab w:val="left" w:pos="993"/>
        </w:tabs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sz w:val="24"/>
          <w:szCs w:val="24"/>
        </w:rPr>
      </w:pPr>
    </w:p>
    <w:p w:rsidR="00AB128F" w:rsidRPr="00AB128F" w:rsidRDefault="00AB128F" w:rsidP="00AB128F">
      <w:pPr>
        <w:widowControl w:val="0"/>
        <w:tabs>
          <w:tab w:val="left" w:pos="993"/>
        </w:tabs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128F">
        <w:rPr>
          <w:rFonts w:ascii="Times New Roman" w:eastAsia="Times New Roman" w:hAnsi="Times New Roman" w:cs="Times New Roman"/>
          <w:sz w:val="24"/>
          <w:szCs w:val="24"/>
        </w:rPr>
        <w:t>Валютные операции в Республике Казахстан регулируются МСФО (IAS) 21.</w:t>
      </w:r>
    </w:p>
    <w:p w:rsidR="00AB128F" w:rsidRPr="00AB128F" w:rsidRDefault="00AB128F" w:rsidP="00AB128F">
      <w:pPr>
        <w:widowControl w:val="0"/>
        <w:tabs>
          <w:tab w:val="left" w:pos="993"/>
        </w:tabs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Операция в иностранной валюте – это операция, выраженная или предпол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гающая расчет в иностранной валюте, в том числе операции, которые предприятие проводит при: приобретении или продаже товаров или услуг, цены на которые установлены в иностранной валюте; займе или предоставлении средств, если по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лежащие выплате или получению суммы установлены в иностранной валюте; ином поступлении или выбытии активов или принятии обязательств, номинированных в иностранной валюте. </w:t>
      </w:r>
    </w:p>
    <w:p w:rsidR="00AB128F" w:rsidRPr="00AB128F" w:rsidRDefault="00AB128F" w:rsidP="00AB128F">
      <w:pPr>
        <w:widowControl w:val="0"/>
        <w:tabs>
          <w:tab w:val="left" w:pos="993"/>
        </w:tabs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первоначальном признании операция в иностранной валюте учитывается в функциональной валюте с применением к сумме в иностранной валюте текущего обменного курса иностранной валюты на функциональную по состоянию на дату операции. </w:t>
      </w:r>
      <w:proofErr w:type="gramEnd"/>
    </w:p>
    <w:p w:rsidR="00AB128F" w:rsidRPr="00AB128F" w:rsidRDefault="00AB128F" w:rsidP="00AB128F">
      <w:pPr>
        <w:widowControl w:val="0"/>
        <w:tabs>
          <w:tab w:val="left" w:pos="993"/>
        </w:tabs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128F">
        <w:rPr>
          <w:rFonts w:ascii="Times New Roman" w:eastAsia="Times New Roman" w:hAnsi="Times New Roman" w:cs="Times New Roman"/>
          <w:sz w:val="24"/>
          <w:szCs w:val="24"/>
        </w:rPr>
        <w:t>Таким образом, предприятие обязано вести учет в функциональной валюте, т.е. в валюте своей экономической среды. Функциональную валюту выбирает само предприятие. Всякая другая валюта, в которой могут осуществляться хозяйстве</w:t>
      </w:r>
      <w:r w:rsidRPr="00AB128F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AB128F">
        <w:rPr>
          <w:rFonts w:ascii="Times New Roman" w:eastAsia="Times New Roman" w:hAnsi="Times New Roman" w:cs="Times New Roman"/>
          <w:sz w:val="24"/>
          <w:szCs w:val="24"/>
        </w:rPr>
        <w:t xml:space="preserve">ные операции, считается иностранной. </w:t>
      </w:r>
    </w:p>
    <w:p w:rsidR="00AB128F" w:rsidRPr="00AB128F" w:rsidRDefault="00AB128F" w:rsidP="00AB128F">
      <w:pPr>
        <w:widowControl w:val="0"/>
        <w:tabs>
          <w:tab w:val="left" w:pos="993"/>
        </w:tabs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128F">
        <w:rPr>
          <w:rFonts w:ascii="Times New Roman" w:eastAsia="Times New Roman" w:hAnsi="Times New Roman" w:cs="Times New Roman"/>
          <w:sz w:val="24"/>
          <w:szCs w:val="24"/>
        </w:rPr>
        <w:t xml:space="preserve">При этом финансовая отчетность может составляться в любой валюте, не обязательно </w:t>
      </w:r>
      <w:proofErr w:type="gramStart"/>
      <w:r w:rsidRPr="00AB128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AB128F">
        <w:rPr>
          <w:rFonts w:ascii="Times New Roman" w:eastAsia="Times New Roman" w:hAnsi="Times New Roman" w:cs="Times New Roman"/>
          <w:sz w:val="24"/>
          <w:szCs w:val="24"/>
        </w:rPr>
        <w:t xml:space="preserve"> функциональной. Валюта, в которой предприятие составляет свою ф</w:t>
      </w:r>
      <w:r w:rsidRPr="00AB128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B128F">
        <w:rPr>
          <w:rFonts w:ascii="Times New Roman" w:eastAsia="Times New Roman" w:hAnsi="Times New Roman" w:cs="Times New Roman"/>
          <w:sz w:val="24"/>
          <w:szCs w:val="24"/>
        </w:rPr>
        <w:t xml:space="preserve">нансовую отчетность, называется валютой отчетности. </w:t>
      </w:r>
    </w:p>
    <w:p w:rsidR="00AB128F" w:rsidRPr="00AB128F" w:rsidRDefault="00AB128F" w:rsidP="00AB128F">
      <w:pPr>
        <w:widowControl w:val="0"/>
        <w:tabs>
          <w:tab w:val="left" w:pos="993"/>
        </w:tabs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128F">
        <w:rPr>
          <w:rFonts w:ascii="Times New Roman" w:eastAsia="Times New Roman" w:hAnsi="Times New Roman" w:cs="Times New Roman"/>
          <w:sz w:val="24"/>
          <w:szCs w:val="24"/>
        </w:rPr>
        <w:t>Функциональная валюта – это валюта страны, чья конкурентная среда опр</w:t>
      </w:r>
      <w:r w:rsidRPr="00AB128F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AB128F">
        <w:rPr>
          <w:rFonts w:ascii="Times New Roman" w:eastAsia="Times New Roman" w:hAnsi="Times New Roman" w:cs="Times New Roman"/>
          <w:sz w:val="24"/>
          <w:szCs w:val="24"/>
        </w:rPr>
        <w:t>деляет цены на товары работы услуги, и в которой:</w:t>
      </w:r>
    </w:p>
    <w:p w:rsidR="00AB128F" w:rsidRPr="00AB128F" w:rsidRDefault="00AB128F" w:rsidP="00AB128F">
      <w:pPr>
        <w:widowControl w:val="0"/>
        <w:numPr>
          <w:ilvl w:val="2"/>
          <w:numId w:val="1"/>
        </w:numPr>
        <w:tabs>
          <w:tab w:val="left" w:pos="993"/>
        </w:tabs>
        <w:spacing w:after="0" w:line="240" w:lineRule="auto"/>
        <w:ind w:left="0" w:firstLine="624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 w:rsidRPr="00AB128F">
        <w:rPr>
          <w:rFonts w:ascii="Times New Roman" w:eastAsia="Times New Roman" w:hAnsi="Times New Roman" w:cs="Times New Roman"/>
          <w:spacing w:val="-6"/>
          <w:sz w:val="24"/>
          <w:szCs w:val="24"/>
        </w:rPr>
        <w:t>выставляются счета и производятся расчеты с покупателями и заказчиками;</w:t>
      </w:r>
    </w:p>
    <w:p w:rsidR="00AB128F" w:rsidRPr="00AB128F" w:rsidRDefault="00AB128F" w:rsidP="00AB128F">
      <w:pPr>
        <w:widowControl w:val="0"/>
        <w:numPr>
          <w:ilvl w:val="2"/>
          <w:numId w:val="1"/>
        </w:numPr>
        <w:tabs>
          <w:tab w:val="left" w:pos="993"/>
        </w:tabs>
        <w:spacing w:after="0" w:line="240" w:lineRule="auto"/>
        <w:ind w:left="0"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128F">
        <w:rPr>
          <w:rFonts w:ascii="Times New Roman" w:eastAsia="Times New Roman" w:hAnsi="Times New Roman" w:cs="Times New Roman"/>
          <w:sz w:val="24"/>
          <w:szCs w:val="24"/>
        </w:rPr>
        <w:t>формируются цены на сырье и материалы, а также производятся расчеты с работниками;</w:t>
      </w:r>
    </w:p>
    <w:p w:rsidR="00AB128F" w:rsidRPr="00AB128F" w:rsidRDefault="00AB128F" w:rsidP="00AB128F">
      <w:pPr>
        <w:widowControl w:val="0"/>
        <w:numPr>
          <w:ilvl w:val="2"/>
          <w:numId w:val="1"/>
        </w:numPr>
        <w:tabs>
          <w:tab w:val="left" w:pos="993"/>
        </w:tabs>
        <w:spacing w:after="0" w:line="240" w:lineRule="auto"/>
        <w:ind w:left="0"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128F">
        <w:rPr>
          <w:rFonts w:ascii="Times New Roman" w:eastAsia="Times New Roman" w:hAnsi="Times New Roman" w:cs="Times New Roman"/>
          <w:sz w:val="24"/>
          <w:szCs w:val="24"/>
        </w:rPr>
        <w:t>привлекаются финансовые ресурсы;</w:t>
      </w:r>
    </w:p>
    <w:p w:rsidR="00AB128F" w:rsidRPr="00AB128F" w:rsidRDefault="00AB128F" w:rsidP="00AB128F">
      <w:pPr>
        <w:widowControl w:val="0"/>
        <w:numPr>
          <w:ilvl w:val="2"/>
          <w:numId w:val="1"/>
        </w:numPr>
        <w:tabs>
          <w:tab w:val="left" w:pos="993"/>
        </w:tabs>
        <w:spacing w:after="0" w:line="240" w:lineRule="auto"/>
        <w:ind w:left="0"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128F">
        <w:rPr>
          <w:rFonts w:ascii="Times New Roman" w:eastAsia="Times New Roman" w:hAnsi="Times New Roman" w:cs="Times New Roman"/>
          <w:sz w:val="24"/>
          <w:szCs w:val="24"/>
        </w:rPr>
        <w:t>сохраняются поступления от основной деятельности предприятия.</w:t>
      </w:r>
    </w:p>
    <w:p w:rsidR="00AB128F" w:rsidRPr="00AB128F" w:rsidRDefault="00AB128F" w:rsidP="00AB128F">
      <w:pPr>
        <w:widowControl w:val="0"/>
        <w:tabs>
          <w:tab w:val="left" w:pos="993"/>
        </w:tabs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128F">
        <w:rPr>
          <w:rFonts w:ascii="Times New Roman" w:eastAsia="Times New Roman" w:hAnsi="Times New Roman" w:cs="Times New Roman"/>
          <w:sz w:val="24"/>
          <w:szCs w:val="24"/>
        </w:rPr>
        <w:t xml:space="preserve">Операции в иностранной валюте пересчитываются в функциональную валюту по </w:t>
      </w:r>
      <w:proofErr w:type="gramStart"/>
      <w:r w:rsidRPr="00AB128F">
        <w:rPr>
          <w:rFonts w:ascii="Times New Roman" w:eastAsia="Times New Roman" w:hAnsi="Times New Roman" w:cs="Times New Roman"/>
          <w:sz w:val="24"/>
          <w:szCs w:val="24"/>
        </w:rPr>
        <w:t>спот-курсу</w:t>
      </w:r>
      <w:proofErr w:type="gramEnd"/>
      <w:r w:rsidRPr="00AB128F">
        <w:rPr>
          <w:rFonts w:ascii="Times New Roman" w:eastAsia="Times New Roman" w:hAnsi="Times New Roman" w:cs="Times New Roman"/>
          <w:sz w:val="24"/>
          <w:szCs w:val="24"/>
        </w:rPr>
        <w:t xml:space="preserve"> на дату операции.</w:t>
      </w:r>
    </w:p>
    <w:p w:rsidR="00AB128F" w:rsidRPr="00AB128F" w:rsidRDefault="00AB128F" w:rsidP="00AB128F">
      <w:pPr>
        <w:widowControl w:val="0"/>
        <w:tabs>
          <w:tab w:val="left" w:pos="993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AB128F">
        <w:rPr>
          <w:rFonts w:ascii="Times New Roman" w:hAnsi="Times New Roman" w:cs="Times New Roman"/>
          <w:b/>
          <w:bCs/>
          <w:sz w:val="24"/>
          <w:szCs w:val="24"/>
        </w:rPr>
        <w:t>Спот</w:t>
      </w:r>
      <w:r w:rsidRPr="00AB128F">
        <w:rPr>
          <w:rFonts w:ascii="Times New Roman" w:hAnsi="Times New Roman" w:cs="Times New Roman"/>
          <w:sz w:val="24"/>
          <w:szCs w:val="24"/>
        </w:rPr>
        <w:t xml:space="preserve"> (англ. </w:t>
      </w:r>
      <w:proofErr w:type="spellStart"/>
      <w:r w:rsidRPr="00AB128F">
        <w:rPr>
          <w:rFonts w:ascii="Times New Roman" w:hAnsi="Times New Roman" w:cs="Times New Roman"/>
          <w:sz w:val="24"/>
          <w:szCs w:val="24"/>
        </w:rPr>
        <w:t>Spot</w:t>
      </w:r>
      <w:proofErr w:type="spellEnd"/>
      <w:r w:rsidRPr="00AB128F">
        <w:rPr>
          <w:rFonts w:ascii="Times New Roman" w:hAnsi="Times New Roman" w:cs="Times New Roman"/>
          <w:sz w:val="24"/>
          <w:szCs w:val="24"/>
        </w:rPr>
        <w:t xml:space="preserve"> — на месте) — условия расчётов, при которых оплата по сделке производится немедленно (как правило, в течение двух дней). Сделки «</w:t>
      </w:r>
      <w:r w:rsidRPr="00AB128F">
        <w:rPr>
          <w:rFonts w:ascii="Times New Roman" w:hAnsi="Times New Roman" w:cs="Times New Roman"/>
          <w:b/>
          <w:bCs/>
          <w:sz w:val="24"/>
          <w:szCs w:val="24"/>
        </w:rPr>
        <w:t>спот</w:t>
      </w:r>
      <w:r w:rsidRPr="00AB128F">
        <w:rPr>
          <w:rFonts w:ascii="Times New Roman" w:hAnsi="Times New Roman" w:cs="Times New Roman"/>
          <w:sz w:val="24"/>
          <w:szCs w:val="24"/>
        </w:rPr>
        <w:t>» называются также наличными или кассовыми.</w:t>
      </w:r>
    </w:p>
    <w:p w:rsidR="00AB128F" w:rsidRPr="00AB128F" w:rsidRDefault="00AB128F" w:rsidP="00AB128F">
      <w:pPr>
        <w:widowControl w:val="0"/>
        <w:tabs>
          <w:tab w:val="left" w:pos="993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B128F">
        <w:rPr>
          <w:rFonts w:ascii="Times New Roman" w:hAnsi="Times New Roman" w:cs="Times New Roman"/>
          <w:sz w:val="24"/>
          <w:szCs w:val="24"/>
        </w:rPr>
        <w:t>МСФО 21 «</w:t>
      </w:r>
      <w:r w:rsidRPr="00AB128F">
        <w:rPr>
          <w:rFonts w:ascii="Times New Roman" w:eastAsia="Times New Roman" w:hAnsi="Times New Roman" w:cs="Times New Roman"/>
          <w:b/>
          <w:sz w:val="24"/>
          <w:szCs w:val="24"/>
        </w:rPr>
        <w:t>Влияние изменений обменных курсов валют</w:t>
      </w:r>
      <w:r w:rsidRPr="00AB128F">
        <w:rPr>
          <w:rFonts w:ascii="Times New Roman" w:hAnsi="Times New Roman" w:cs="Times New Roman"/>
          <w:sz w:val="24"/>
          <w:szCs w:val="24"/>
        </w:rPr>
        <w:t>» определяет ра</w:t>
      </w:r>
      <w:r w:rsidRPr="00AB128F">
        <w:rPr>
          <w:rFonts w:ascii="Times New Roman" w:hAnsi="Times New Roman" w:cs="Times New Roman"/>
          <w:sz w:val="24"/>
          <w:szCs w:val="24"/>
        </w:rPr>
        <w:t>з</w:t>
      </w:r>
      <w:r w:rsidRPr="00AB128F">
        <w:rPr>
          <w:rFonts w:ascii="Times New Roman" w:hAnsi="Times New Roman" w:cs="Times New Roman"/>
          <w:sz w:val="24"/>
          <w:szCs w:val="24"/>
        </w:rPr>
        <w:t>личный порядок пересчета в зависимости от особенностей оценки статьи, а также от того, является она монетарной  (денежной) или немонетарной (</w:t>
      </w:r>
      <w:proofErr w:type="spellStart"/>
      <w:r w:rsidRPr="00AB128F">
        <w:rPr>
          <w:rFonts w:ascii="Times New Roman" w:hAnsi="Times New Roman" w:cs="Times New Roman"/>
          <w:sz w:val="24"/>
          <w:szCs w:val="24"/>
        </w:rPr>
        <w:t>неденежной</w:t>
      </w:r>
      <w:proofErr w:type="spellEnd"/>
      <w:r w:rsidRPr="00AB128F">
        <w:rPr>
          <w:rFonts w:ascii="Times New Roman" w:hAnsi="Times New Roman" w:cs="Times New Roman"/>
          <w:sz w:val="24"/>
          <w:szCs w:val="24"/>
        </w:rPr>
        <w:t>).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  <w:rPr>
          <w:rStyle w:val="s0"/>
        </w:rPr>
      </w:pPr>
      <w:r w:rsidRPr="00AB128F">
        <w:rPr>
          <w:rStyle w:val="s0"/>
        </w:rPr>
        <w:t>Монетарные (денежные) статьи - это единицы валюты в наличии, а также а</w:t>
      </w:r>
      <w:r w:rsidRPr="00AB128F">
        <w:rPr>
          <w:rStyle w:val="s0"/>
        </w:rPr>
        <w:t>к</w:t>
      </w:r>
      <w:r w:rsidRPr="00AB128F">
        <w:rPr>
          <w:rStyle w:val="s0"/>
        </w:rPr>
        <w:t>тивы и обязательства к получению или выплате, выраженные фиксированным или определяемым количеством валютных единиц. Существенной характеристикой монетарной статьи является право получить (или обязательство выплатить) фикс</w:t>
      </w:r>
      <w:r w:rsidRPr="00AB128F">
        <w:rPr>
          <w:rStyle w:val="s0"/>
        </w:rPr>
        <w:t>и</w:t>
      </w:r>
      <w:r w:rsidRPr="00AB128F">
        <w:rPr>
          <w:rStyle w:val="s0"/>
        </w:rPr>
        <w:t>рованное или определенное количество иностранной валюты (</w:t>
      </w:r>
      <w:bookmarkStart w:id="1" w:name="SUB1000313919"/>
      <w:r w:rsidRPr="00AB128F">
        <w:rPr>
          <w:rStyle w:val="s2"/>
        </w:rPr>
        <w:fldChar w:fldCharType="begin"/>
      </w:r>
      <w:r w:rsidRPr="00AB128F">
        <w:rPr>
          <w:rStyle w:val="s2"/>
        </w:rPr>
        <w:instrText xml:space="preserve"> HYPERLINK "http://online.zakon.kz/Document/?doc_id=30003563" \l "sub_id=800" \t "_parent" </w:instrText>
      </w:r>
      <w:r w:rsidRPr="00AB128F">
        <w:rPr>
          <w:rStyle w:val="s2"/>
        </w:rPr>
        <w:fldChar w:fldCharType="separate"/>
      </w:r>
      <w:r w:rsidRPr="00AB128F">
        <w:rPr>
          <w:rStyle w:val="a3"/>
        </w:rPr>
        <w:t>п.8</w:t>
      </w:r>
      <w:r w:rsidRPr="00AB128F">
        <w:rPr>
          <w:rStyle w:val="s2"/>
        </w:rPr>
        <w:fldChar w:fldCharType="end"/>
      </w:r>
      <w:bookmarkEnd w:id="1"/>
      <w:r w:rsidRPr="00AB128F">
        <w:rPr>
          <w:rStyle w:val="s0"/>
        </w:rPr>
        <w:t xml:space="preserve"> МСФО (IAS) 21). То есть это </w:t>
      </w:r>
      <w:proofErr w:type="gramStart"/>
      <w:r w:rsidRPr="00AB128F">
        <w:rPr>
          <w:rStyle w:val="s0"/>
        </w:rPr>
        <w:t>статьи</w:t>
      </w:r>
      <w:proofErr w:type="gramEnd"/>
      <w:r w:rsidRPr="00AB128F">
        <w:rPr>
          <w:rStyle w:val="s0"/>
        </w:rPr>
        <w:t xml:space="preserve"> по которым компания планирует получить или заплатить дене</w:t>
      </w:r>
      <w:r w:rsidRPr="00AB128F">
        <w:rPr>
          <w:rStyle w:val="s0"/>
        </w:rPr>
        <w:t>ж</w:t>
      </w:r>
      <w:r w:rsidRPr="00AB128F">
        <w:rPr>
          <w:rStyle w:val="s0"/>
        </w:rPr>
        <w:t xml:space="preserve">ные средства. 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Примеры монетарных (денежных) статей: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денежные средства;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депозиты в банках и банковские овердрафты;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дебиторская и кредиторская задолженности, выраженные и подлежащие п</w:t>
      </w:r>
      <w:r w:rsidRPr="00AB128F">
        <w:rPr>
          <w:rStyle w:val="s0"/>
        </w:rPr>
        <w:t>о</w:t>
      </w:r>
      <w:r w:rsidRPr="00AB128F">
        <w:rPr>
          <w:rStyle w:val="s0"/>
        </w:rPr>
        <w:t>гашению денежными активами;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займы и кредиты выданные и полученные;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векселя, облигации и иные долговые финансовые инструменты собственные и третьих лиц.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Немонетарные (</w:t>
      </w:r>
      <w:proofErr w:type="spellStart"/>
      <w:r w:rsidRPr="00AB128F">
        <w:rPr>
          <w:rStyle w:val="s0"/>
        </w:rPr>
        <w:t>неденежные</w:t>
      </w:r>
      <w:proofErr w:type="spellEnd"/>
      <w:r w:rsidRPr="00AB128F">
        <w:rPr>
          <w:rStyle w:val="s0"/>
        </w:rPr>
        <w:t>) статьи - это все прочие статьи, кроме монета</w:t>
      </w:r>
      <w:r w:rsidRPr="00AB128F">
        <w:rPr>
          <w:rStyle w:val="s0"/>
        </w:rPr>
        <w:t>р</w:t>
      </w:r>
      <w:r w:rsidRPr="00AB128F">
        <w:rPr>
          <w:rStyle w:val="s0"/>
        </w:rPr>
        <w:t>ных статей. Существенной характеристикой немонетарной статьи является отсу</w:t>
      </w:r>
      <w:r w:rsidRPr="00AB128F">
        <w:rPr>
          <w:rStyle w:val="s0"/>
        </w:rPr>
        <w:t>т</w:t>
      </w:r>
      <w:r w:rsidRPr="00AB128F">
        <w:rPr>
          <w:rStyle w:val="s0"/>
        </w:rPr>
        <w:t>ствие права получить (или обязательства выплатить) фиксированное или опред</w:t>
      </w:r>
      <w:r w:rsidRPr="00AB128F">
        <w:rPr>
          <w:rStyle w:val="s0"/>
        </w:rPr>
        <w:t>е</w:t>
      </w:r>
      <w:r w:rsidRPr="00AB128F">
        <w:rPr>
          <w:rStyle w:val="s0"/>
        </w:rPr>
        <w:t xml:space="preserve">ленное количество </w:t>
      </w:r>
      <w:r w:rsidRPr="00AB128F">
        <w:rPr>
          <w:rStyle w:val="s0"/>
        </w:rPr>
        <w:lastRenderedPageBreak/>
        <w:t xml:space="preserve">иностранной валюты. 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Примеры немонетарных (</w:t>
      </w:r>
      <w:proofErr w:type="spellStart"/>
      <w:r w:rsidRPr="00AB128F">
        <w:rPr>
          <w:rStyle w:val="s0"/>
        </w:rPr>
        <w:t>неденежных</w:t>
      </w:r>
      <w:proofErr w:type="spellEnd"/>
      <w:r w:rsidRPr="00AB128F">
        <w:rPr>
          <w:rStyle w:val="s0"/>
        </w:rPr>
        <w:t>) статей: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основные средства и незавершенное строительство: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нематериальные активы;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инвестиционная собственность;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гудвилл;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запасы;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расходы и доходы будущих периодов;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авансы выданные и полученные;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rPr>
          <w:rStyle w:val="s0"/>
        </w:rPr>
        <w:t>уставный капитал и прочие компоненты капитала;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  <w:rPr>
          <w:rStyle w:val="s0"/>
        </w:rPr>
      </w:pPr>
      <w:r w:rsidRPr="00AB128F">
        <w:rPr>
          <w:rStyle w:val="s0"/>
        </w:rPr>
        <w:t>дебиторская и кредиторская задолженности, выраженные и подлежащие п</w:t>
      </w:r>
      <w:r w:rsidRPr="00AB128F">
        <w:rPr>
          <w:rStyle w:val="s0"/>
        </w:rPr>
        <w:t>о</w:t>
      </w:r>
      <w:r w:rsidRPr="00AB128F">
        <w:rPr>
          <w:rStyle w:val="s0"/>
        </w:rPr>
        <w:t>гашению немонетарными активами.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t>При проведении валютных операций в учете может возникать курсовая ра</w:t>
      </w:r>
      <w:r w:rsidRPr="00AB128F">
        <w:t>з</w:t>
      </w:r>
      <w:r w:rsidRPr="00AB128F">
        <w:t xml:space="preserve">ница. 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t xml:space="preserve">Курсовая разница – это разница, возникающая при пересчете определенного количества единиц в одной валюте в другую с использованием разных обменных курсов. </w:t>
      </w:r>
    </w:p>
    <w:p w:rsidR="00AB128F" w:rsidRPr="00AB128F" w:rsidRDefault="00AB128F" w:rsidP="00AB128F">
      <w:pPr>
        <w:pStyle w:val="j12"/>
        <w:widowControl w:val="0"/>
        <w:spacing w:before="0" w:beforeAutospacing="0" w:after="0" w:afterAutospacing="0"/>
        <w:ind w:firstLine="624"/>
        <w:jc w:val="both"/>
      </w:pPr>
      <w:r w:rsidRPr="00AB128F">
        <w:t>Курсовая разница признается только по монетарным статьям учета. Если монетарные статьи возникают в результате операций в иностранной валюте, и обме</w:t>
      </w:r>
      <w:r w:rsidRPr="00AB128F">
        <w:t>н</w:t>
      </w:r>
      <w:r w:rsidRPr="00AB128F">
        <w:t>ный курс изменяется между датой проведения операции и датой проведения расч</w:t>
      </w:r>
      <w:r w:rsidRPr="00AB128F">
        <w:t>е</w:t>
      </w:r>
      <w:r w:rsidRPr="00AB128F">
        <w:t>тов, возникает курсовая разница. Если расчет происходит в том же учетном пери</w:t>
      </w:r>
      <w:r w:rsidRPr="00AB128F">
        <w:t>о</w:t>
      </w:r>
      <w:r w:rsidRPr="00AB128F">
        <w:t xml:space="preserve">де, в каком проведена операция, вся курсовая разница признается в этом периоде. Однако если расчет происходит в следующем учетном периоде, курсовая разница, признаваемая в каждом из периодов до даты расчета, определяется изменением обменных курсов валют в каждом из периодов. </w:t>
      </w:r>
    </w:p>
    <w:p w:rsidR="00AB128F" w:rsidRPr="00AB128F" w:rsidRDefault="00AB128F" w:rsidP="00AB12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12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благоприят</w:t>
      </w:r>
      <w:r w:rsidRPr="00AB12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ном развитии курса возникают </w:t>
      </w:r>
      <w:proofErr w:type="gramStart"/>
      <w:r w:rsidRPr="00AB12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положительные</w:t>
      </w:r>
      <w:proofErr w:type="gramEnd"/>
      <w:r w:rsidRPr="00AB12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курсовые ра</w:t>
      </w:r>
      <w:r w:rsidRPr="00AB12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AB12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</w:t>
      </w:r>
      <w:r w:rsidRPr="00AB12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цы, при неблагоприятном отрицательные. </w:t>
      </w:r>
    </w:p>
    <w:p w:rsidR="00AB128F" w:rsidRPr="00AB128F" w:rsidRDefault="00AB128F" w:rsidP="00AB128F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Операции в иностранной валюте отражаются в учете в тенге по рыночному курсу обмена валюты, установленному Национальным банком РК, на дату сове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шения операции.  Датой операции в соответствии с </w:t>
      </w:r>
      <w:bookmarkStart w:id="2" w:name="SUB1000313911"/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"http://online.zakon.kz/Document/?doc_id=30003563" \t "_parent" </w:instrTex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AB128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МСФО 21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End w:id="2"/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дата, на к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торую впервые выполнены критерии признания операции в соответствии с МСФО (IFRS). На практике часто используется обменный курс, приблизительно равный фактическому курсу на дату операции: например, средний курс за неделю или за месяц может быть применен ко всем операциям во всех иностранных валютах, осуществленным в течение соответствующего периода. Однако если обменный курс валют существенно колеблется, применять средний курс за период нецелес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образно. Рыночный курс обмена валюты можно получить с официального сайта Национального банка РК: </w:t>
      </w:r>
      <w:hyperlink r:id="rId6" w:tgtFrame="_blank" w:history="1">
        <w:r w:rsidRPr="00AB128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www.nationalbank.kz</w:t>
        </w:r>
      </w:hyperlink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128F" w:rsidRPr="00AB128F" w:rsidRDefault="00AB128F" w:rsidP="00AB128F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конец каждого отчетного периода:</w:t>
      </w:r>
    </w:p>
    <w:p w:rsidR="00AB128F" w:rsidRPr="00AB128F" w:rsidRDefault="00AB128F" w:rsidP="00AB128F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монетарные статьи в иностранной валюте переводятся по курсу закрытия;</w:t>
      </w:r>
    </w:p>
    <w:p w:rsidR="00AB128F" w:rsidRPr="00AB128F" w:rsidRDefault="00AB128F" w:rsidP="00AB128F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-  немонетарные статьи, которые оцениваются по исторической стоимости в иностранной валюте, переводятся по обменному курсу валют на дату операции;</w:t>
      </w:r>
    </w:p>
    <w:p w:rsidR="00AB128F" w:rsidRPr="00AB128F" w:rsidRDefault="00AB128F" w:rsidP="00AB128F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немонетарные статьи, которые оцениваются по справедливой стоимости в иностранной валюте, переводятся по обменному курсу на дату оценки справедл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B128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вой стоимости.</w:t>
      </w:r>
    </w:p>
    <w:p w:rsidR="00AB128F" w:rsidRPr="00AB128F" w:rsidRDefault="00AB128F" w:rsidP="00AB128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128F">
        <w:rPr>
          <w:rFonts w:ascii="Times New Roman" w:eastAsia="Times New Roman" w:hAnsi="Times New Roman" w:cs="Times New Roman"/>
          <w:sz w:val="24"/>
          <w:szCs w:val="24"/>
        </w:rPr>
        <w:t>доходы и расходы – по среднегодовому курсу.</w:t>
      </w:r>
    </w:p>
    <w:p w:rsidR="00E81D26" w:rsidRDefault="00E81D26" w:rsidP="00AB12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24"/>
        <w:jc w:val="both"/>
      </w:pPr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648E2"/>
    <w:multiLevelType w:val="hybridMultilevel"/>
    <w:tmpl w:val="A5261070"/>
    <w:lvl w:ilvl="0" w:tplc="9F2846AC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64CC2FE1"/>
    <w:multiLevelType w:val="hybridMultilevel"/>
    <w:tmpl w:val="72CC7916"/>
    <w:lvl w:ilvl="0" w:tplc="1BE461F6">
      <w:start w:val="1"/>
      <w:numFmt w:val="bullet"/>
      <w:lvlText w:val=""/>
      <w:lvlJc w:val="left"/>
      <w:pPr>
        <w:ind w:left="-710" w:hanging="360"/>
      </w:pPr>
      <w:rPr>
        <w:rFonts w:ascii="Wingdings" w:hAnsi="Wingdings" w:hint="default"/>
        <w:sz w:val="20"/>
      </w:rPr>
    </w:lvl>
    <w:lvl w:ilvl="1" w:tplc="80D60170">
      <w:start w:val="1"/>
      <w:numFmt w:val="bullet"/>
      <w:lvlText w:val="o"/>
      <w:lvlJc w:val="left"/>
      <w:pPr>
        <w:ind w:left="10" w:hanging="360"/>
      </w:pPr>
      <w:rPr>
        <w:rFonts w:ascii="Courier New" w:hAnsi="Courier New" w:cs="Courier New" w:hint="default"/>
      </w:rPr>
    </w:lvl>
    <w:lvl w:ilvl="2" w:tplc="9F2846AC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sz w:val="20"/>
      </w:rPr>
    </w:lvl>
    <w:lvl w:ilvl="3" w:tplc="2AE285E6">
      <w:start w:val="1"/>
      <w:numFmt w:val="bullet"/>
      <w:lvlText w:val=""/>
      <w:lvlJc w:val="left"/>
      <w:pPr>
        <w:ind w:left="1450" w:hanging="360"/>
      </w:pPr>
      <w:rPr>
        <w:rFonts w:ascii="Symbol" w:hAnsi="Symbol" w:hint="default"/>
      </w:rPr>
    </w:lvl>
    <w:lvl w:ilvl="4" w:tplc="2C7AA136" w:tentative="1">
      <w:start w:val="1"/>
      <w:numFmt w:val="bullet"/>
      <w:lvlText w:val="o"/>
      <w:lvlJc w:val="left"/>
      <w:pPr>
        <w:ind w:left="2170" w:hanging="360"/>
      </w:pPr>
      <w:rPr>
        <w:rFonts w:ascii="Courier New" w:hAnsi="Courier New" w:cs="Courier New" w:hint="default"/>
      </w:rPr>
    </w:lvl>
    <w:lvl w:ilvl="5" w:tplc="1990EAB8" w:tentative="1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6" w:tplc="46BE6510" w:tentative="1">
      <w:start w:val="1"/>
      <w:numFmt w:val="bullet"/>
      <w:lvlText w:val=""/>
      <w:lvlJc w:val="left"/>
      <w:pPr>
        <w:ind w:left="3610" w:hanging="360"/>
      </w:pPr>
      <w:rPr>
        <w:rFonts w:ascii="Symbol" w:hAnsi="Symbol" w:hint="default"/>
      </w:rPr>
    </w:lvl>
    <w:lvl w:ilvl="7" w:tplc="7CB6C754" w:tentative="1">
      <w:start w:val="1"/>
      <w:numFmt w:val="bullet"/>
      <w:lvlText w:val="o"/>
      <w:lvlJc w:val="left"/>
      <w:pPr>
        <w:ind w:left="4330" w:hanging="360"/>
      </w:pPr>
      <w:rPr>
        <w:rFonts w:ascii="Courier New" w:hAnsi="Courier New" w:cs="Courier New" w:hint="default"/>
      </w:rPr>
    </w:lvl>
    <w:lvl w:ilvl="8" w:tplc="853A62E6" w:tentative="1">
      <w:start w:val="1"/>
      <w:numFmt w:val="bullet"/>
      <w:lvlText w:val=""/>
      <w:lvlJc w:val="left"/>
      <w:pPr>
        <w:ind w:left="50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28F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128F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2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j12">
    <w:name w:val="j12"/>
    <w:basedOn w:val="a"/>
    <w:rsid w:val="00AB1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0">
    <w:name w:val="s0"/>
    <w:basedOn w:val="a0"/>
    <w:rsid w:val="00AB128F"/>
  </w:style>
  <w:style w:type="character" w:customStyle="1" w:styleId="s2">
    <w:name w:val="s2"/>
    <w:basedOn w:val="a0"/>
    <w:rsid w:val="00AB128F"/>
  </w:style>
  <w:style w:type="character" w:styleId="a3">
    <w:name w:val="Hyperlink"/>
    <w:basedOn w:val="a0"/>
    <w:uiPriority w:val="99"/>
    <w:semiHidden/>
    <w:unhideWhenUsed/>
    <w:rsid w:val="00AB128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2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j12">
    <w:name w:val="j12"/>
    <w:basedOn w:val="a"/>
    <w:rsid w:val="00AB1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0">
    <w:name w:val="s0"/>
    <w:basedOn w:val="a0"/>
    <w:rsid w:val="00AB128F"/>
  </w:style>
  <w:style w:type="character" w:customStyle="1" w:styleId="s2">
    <w:name w:val="s2"/>
    <w:basedOn w:val="a0"/>
    <w:rsid w:val="00AB128F"/>
  </w:style>
  <w:style w:type="character" w:styleId="a3">
    <w:name w:val="Hyperlink"/>
    <w:basedOn w:val="a0"/>
    <w:uiPriority w:val="99"/>
    <w:semiHidden/>
    <w:unhideWhenUsed/>
    <w:rsid w:val="00AB12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tionalbank.kz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894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2019-09-28T13:13:00Z</dcterms:created>
  <dcterms:modified xsi:type="dcterms:W3CDTF">2019-09-28T13:14:00Z</dcterms:modified>
</cp:coreProperties>
</file>